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B9" w:rsidRPr="00D101AB" w:rsidRDefault="00344AB9" w:rsidP="00344AB9">
      <w:pPr>
        <w:pStyle w:val="NormalWeb"/>
        <w:spacing w:line="276" w:lineRule="auto"/>
        <w:ind w:left="1440" w:firstLine="720"/>
        <w:rPr>
          <w:rFonts w:asciiTheme="majorHAnsi" w:eastAsiaTheme="minorHAnsi" w:hAnsiTheme="majorHAnsi"/>
          <w:b/>
          <w:szCs w:val="22"/>
        </w:rPr>
      </w:pPr>
      <w:r>
        <w:rPr>
          <w:rFonts w:asciiTheme="majorHAnsi" w:hAnsiTheme="majorHAnsi"/>
          <w:b/>
        </w:rPr>
        <w:t>Chapter F</w:t>
      </w:r>
      <w:r w:rsidRPr="00CD53EC">
        <w:rPr>
          <w:rFonts w:asciiTheme="majorHAnsi" w:hAnsiTheme="majorHAnsi"/>
          <w:b/>
        </w:rPr>
        <w:t>our</w:t>
      </w:r>
    </w:p>
    <w:p w:rsidR="00344AB9" w:rsidRPr="00CD53EC" w:rsidRDefault="00344AB9" w:rsidP="00344AB9">
      <w:pPr>
        <w:ind w:left="1440" w:firstLine="720"/>
        <w:jc w:val="both"/>
        <w:rPr>
          <w:rFonts w:asciiTheme="majorHAnsi" w:hAnsiTheme="majorHAnsi" w:cs="Times New Roman"/>
          <w:b/>
          <w:sz w:val="24"/>
          <w:szCs w:val="24"/>
        </w:rPr>
      </w:pPr>
      <w:r w:rsidRPr="00CD53EC">
        <w:rPr>
          <w:rFonts w:asciiTheme="majorHAnsi" w:hAnsiTheme="majorHAnsi" w:cs="Times New Roman"/>
          <w:b/>
          <w:sz w:val="24"/>
          <w:szCs w:val="24"/>
        </w:rPr>
        <w:t>The Sociology of Market</w:t>
      </w:r>
    </w:p>
    <w:p w:rsidR="00344AB9" w:rsidRPr="00CD53EC" w:rsidRDefault="00344AB9" w:rsidP="00344AB9">
      <w:pPr>
        <w:jc w:val="both"/>
        <w:rPr>
          <w:rFonts w:asciiTheme="majorHAnsi" w:hAnsiTheme="majorHAnsi" w:cs="Times New Roman"/>
          <w:b/>
          <w:szCs w:val="24"/>
        </w:rPr>
      </w:pPr>
      <w:r w:rsidRPr="00CD53EC">
        <w:rPr>
          <w:rFonts w:asciiTheme="majorHAnsi" w:hAnsiTheme="majorHAnsi" w:cs="Times New Roman"/>
          <w:b/>
          <w:szCs w:val="24"/>
        </w:rPr>
        <w:t>4.1 Institutional Theory</w:t>
      </w:r>
    </w:p>
    <w:p w:rsidR="00344AB9" w:rsidRPr="00CD53EC" w:rsidRDefault="00344AB9" w:rsidP="00344AB9">
      <w:pPr>
        <w:spacing w:before="100" w:beforeAutospacing="1" w:after="100" w:afterAutospacing="1"/>
        <w:jc w:val="both"/>
        <w:rPr>
          <w:rFonts w:asciiTheme="majorHAnsi" w:eastAsia="Times New Roman" w:hAnsiTheme="majorHAnsi" w:cs="Times New Roman"/>
        </w:rPr>
      </w:pPr>
      <w:r w:rsidRPr="00CD53EC">
        <w:rPr>
          <w:rFonts w:asciiTheme="majorHAnsi" w:eastAsia="Times New Roman" w:hAnsiTheme="majorHAnsi" w:cs="Times New Roman"/>
          <w:b/>
          <w:bCs/>
        </w:rPr>
        <w:t>Institutional theory</w:t>
      </w:r>
      <w:r w:rsidRPr="00CD53EC">
        <w:rPr>
          <w:rFonts w:asciiTheme="majorHAnsi" w:eastAsia="Times New Roman" w:hAnsiTheme="majorHAnsi" w:cs="Times New Roman"/>
        </w:rPr>
        <w:t xml:space="preserve"> is "A widely accepted theoretical posture that emphasizes rational myths, </w:t>
      </w:r>
      <w:hyperlink r:id="rId7" w:tooltip="Isomorphism" w:history="1">
        <w:r w:rsidRPr="00CD53EC">
          <w:rPr>
            <w:rFonts w:asciiTheme="majorHAnsi" w:eastAsia="Times New Roman" w:hAnsiTheme="majorHAnsi" w:cs="Times New Roman"/>
          </w:rPr>
          <w:t>isomorphism</w:t>
        </w:r>
      </w:hyperlink>
      <w:r w:rsidRPr="00CD53EC">
        <w:rPr>
          <w:rFonts w:asciiTheme="majorHAnsi" w:eastAsia="Times New Roman" w:hAnsiTheme="majorHAnsi" w:cs="Times New Roman"/>
        </w:rPr>
        <w:t xml:space="preserve">, and legitimacy.” Institutional theory focuses on the deeper and more </w:t>
      </w:r>
      <w:hyperlink r:id="rId8" w:history="1">
        <w:r w:rsidRPr="00CD53EC">
          <w:rPr>
            <w:rFonts w:asciiTheme="majorHAnsi" w:eastAsia="Times New Roman" w:hAnsiTheme="majorHAnsi" w:cs="Times New Roman"/>
          </w:rPr>
          <w:t>resilient</w:t>
        </w:r>
      </w:hyperlink>
      <w:r w:rsidRPr="00CD53EC">
        <w:rPr>
          <w:rFonts w:asciiTheme="majorHAnsi" w:eastAsia="Times New Roman" w:hAnsiTheme="majorHAnsi" w:cs="Times New Roman"/>
        </w:rPr>
        <w:t xml:space="preserve"> aspects of social structure. It considers the processes by which structures, including schemes; rules, norms, and routines, become established as authoritative guidelines for social behavior. Different components of institutional theory explain how these elements are created, diffused, adopted, and adapted over space and time; and how they fall into decline and disuse.</w:t>
      </w:r>
    </w:p>
    <w:p w:rsidR="00344AB9" w:rsidRPr="00CD53EC" w:rsidRDefault="00344AB9" w:rsidP="00344AB9">
      <w:pPr>
        <w:spacing w:before="100" w:beforeAutospacing="1" w:after="100" w:afterAutospacing="1"/>
        <w:jc w:val="both"/>
        <w:rPr>
          <w:rFonts w:asciiTheme="majorHAnsi" w:eastAsia="Times New Roman" w:hAnsiTheme="majorHAnsi" w:cs="Times New Roman"/>
        </w:rPr>
      </w:pPr>
      <w:r w:rsidRPr="00CD53EC">
        <w:rPr>
          <w:rFonts w:asciiTheme="majorHAnsi" w:eastAsia="Times New Roman" w:hAnsiTheme="majorHAnsi" w:cs="Times New Roman"/>
        </w:rPr>
        <w:t>Institutions are social structures that have attained a high degree of resilience. [They] are composed of cultural-cognitive, normative, and regulative elements that, together with associated activities and resources, provide stability and meaning to social life. Institutions are transmitted by various types of carriers, including symbolic systems, relational systems, routines, and artifacts. Institutions operate at different levels of jurisdiction, from the world system to localized interpersonal relationships. Institutions by definition connote stability but are subject to change processes, both incremental and discontinuous.</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Institutional arguments rely not on aggregations of individual action, or on patterned interaction games between individuals, but on “institutions that structure action”. Institutions are emergent, “higher-order” factors above the individual level, constraining or constituting the interests and political participation of actors “without requiring repeated collective mobilization or authoritative intervention to achieve these regularities”</w:t>
      </w:r>
    </w:p>
    <w:p w:rsidR="00344AB9" w:rsidRPr="00CD53EC" w:rsidRDefault="00344AB9" w:rsidP="00344AB9">
      <w:pPr>
        <w:autoSpaceDE w:val="0"/>
        <w:autoSpaceDN w:val="0"/>
        <w:adjustRightInd w:val="0"/>
        <w:spacing w:after="0"/>
        <w:jc w:val="both"/>
        <w:rPr>
          <w:rFonts w:asciiTheme="majorHAnsi" w:hAnsiTheme="majorHAnsi" w:cs="Times-Roman"/>
        </w:rPr>
      </w:pPr>
    </w:p>
    <w:p w:rsidR="00344AB9" w:rsidRPr="00CD53EC" w:rsidRDefault="00344AB9" w:rsidP="00344AB9">
      <w:pPr>
        <w:autoSpaceDE w:val="0"/>
        <w:autoSpaceDN w:val="0"/>
        <w:adjustRightInd w:val="0"/>
        <w:spacing w:after="0"/>
        <w:ind w:left="720" w:firstLine="720"/>
        <w:jc w:val="both"/>
        <w:rPr>
          <w:rFonts w:asciiTheme="majorHAnsi" w:hAnsiTheme="majorHAnsi" w:cs="Times-Roman"/>
          <w:b/>
        </w:rPr>
      </w:pPr>
      <w:r w:rsidRPr="00CD53EC">
        <w:rPr>
          <w:rFonts w:asciiTheme="majorHAnsi" w:hAnsiTheme="majorHAnsi" w:cs="Times-Roman"/>
          <w:b/>
        </w:rPr>
        <w:t>Sociological Institutionalism</w:t>
      </w:r>
    </w:p>
    <w:p w:rsidR="00344AB9" w:rsidRPr="00CD53EC" w:rsidRDefault="00344AB9" w:rsidP="00344AB9">
      <w:pPr>
        <w:autoSpaceDE w:val="0"/>
        <w:autoSpaceDN w:val="0"/>
        <w:adjustRightInd w:val="0"/>
        <w:spacing w:after="0"/>
        <w:jc w:val="both"/>
        <w:rPr>
          <w:rFonts w:asciiTheme="majorHAnsi" w:hAnsiTheme="majorHAnsi" w:cs="Times-Roman"/>
        </w:rPr>
      </w:pP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The two main sources of sociological institutionalism as applied to politics are from organizational and world society perspectives and developed as a response to the lacunae in state-centered and world system theories in political sociology and in neorealist theories in international relations, all of which attribute policies and actions to political actors’ purposive pursuit of self-interest.</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The critique has three main parts. First, the instrumental, individualist assumptions of interest-driven theories, sociological institutionalist scholars have noted, predict a variety of policies, actions, and functional forms among states, whereas for many policy examples states instead display isomorphism, despite differences in relevant interests. Second, the ambiguity of the linkage between observed reality, political instruments, and policy goals may render impracticable a well-informed pursuit of interests. Third, interest-driven theories may prematurely dismiss the constitutive role of culture in politics or conceptualize culture as being an artifact of political structures or economic relations.</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 xml:space="preserve">Responsible for policy and political structural isomorphism in sociological institutionalist explanations, then, are cultural institutions common to political actors: cognitive or normative </w:t>
      </w:r>
      <w:r w:rsidRPr="00CD53EC">
        <w:rPr>
          <w:rFonts w:asciiTheme="majorHAnsi" w:hAnsiTheme="majorHAnsi" w:cs="Times-Roman"/>
        </w:rPr>
        <w:lastRenderedPageBreak/>
        <w:t>constructs that define the conceivable and appropriate forms of political organization, policy goals, and policy instruments for attaining those goals.</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The institution of interest is transnational political culture, not nation-specific configurations of political organizations. As Strang and Chang (1993: 237) observe, “This perhaps makes “institutionalism” a misnomer; the institutions of concern are the codified cultural constructions, not the organizations that mirror them.” Sociological institutional theories address policy innovation only insofar as they explain waves of conformity to newly emerging cultural institutions, or address the conditions under which extant institutions constitute the production of new policy forms. They conceptualize the process of policy adoption as being a matter of emulation and diffusion, emphasizing system-level and relational-level causes that are exogenous to actors.</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Political applications of these theories have been developed and tested using empirical cases of transnational policy convergence such as education standards , environmental treaties, and citizen rights, as well as empirical cases of national macroeconomic policy stability  and subnational waves of policy convergence Sociological institutionalists form a tightly self-identified school of thinking.</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Sociological institutional explanations vary in the mechanisms to which they attribute political stability and the organizational structures through which these mechanisms exert causal influence. Mechanisms constitute the micro foundations of sociological institutionalist theorizing and the hypothesized primary motivators of human activity. In one view, norms, rituals, models, and conventions establish what is appropriate. From this viewpoint, state actors are motivated by status concerns, particularly in world society theories. Seeking legitimacy among their peer states, they adopt and maintain the characteristics and forms of a parent, global polity or of those of peers they perceive as being more legitimate.</w:t>
      </w:r>
    </w:p>
    <w:p w:rsidR="00344AB9" w:rsidRPr="00CD53EC" w:rsidRDefault="00344AB9" w:rsidP="00344AB9">
      <w:pPr>
        <w:tabs>
          <w:tab w:val="left" w:pos="7621"/>
        </w:tabs>
        <w:autoSpaceDE w:val="0"/>
        <w:autoSpaceDN w:val="0"/>
        <w:adjustRightInd w:val="0"/>
        <w:spacing w:after="0"/>
        <w:jc w:val="both"/>
        <w:rPr>
          <w:rFonts w:asciiTheme="majorHAnsi" w:hAnsiTheme="majorHAnsi" w:cs="Times-Roman"/>
        </w:rPr>
      </w:pP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Alternately, cognitive schemas, scripts, and paradigms establish what is conceivable. In this view, actors are motivated by substantive policy concerns but the linkage between available means and desired ends is inherently ambiguous, and actors select available means based on an imperfect, bounded or “garbage can,” rationality.</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Consequently, they address policy either by working from a shared available stock of professional expertise or by emulating peers – other polities or organizations in civil society – they perceive as being more successful. The latter emulation may derive from competitive motivations or be part of a bounded, heuristic learning process, though such mechanisms may be difficult to disaggregate.</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Third, political actors might be epistemologically dependent upon other actors – either pools of expert or managerial personnel or innovating, early adopting peers – to develop and demonstrate the cognitive or normative feasibility of policy rationales and prescriptions.</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Having delegated technical authority to expert bodies, actors create policy by enacting the recommendations of scientific or technical “epistemic communities” or by defaulting to the standards and regulations of “global governance”.</w:t>
      </w:r>
    </w:p>
    <w:p w:rsidR="00344AB9" w:rsidRPr="00CD53EC" w:rsidRDefault="00344AB9" w:rsidP="00344AB9">
      <w:pPr>
        <w:autoSpaceDE w:val="0"/>
        <w:autoSpaceDN w:val="0"/>
        <w:adjustRightInd w:val="0"/>
        <w:spacing w:after="0"/>
        <w:jc w:val="both"/>
        <w:rPr>
          <w:rFonts w:asciiTheme="majorHAnsi" w:hAnsiTheme="majorHAnsi" w:cs="Times-Roman"/>
        </w:rPr>
      </w:pPr>
      <w:r w:rsidRPr="00CD53EC">
        <w:rPr>
          <w:rFonts w:asciiTheme="majorHAnsi" w:hAnsiTheme="majorHAnsi" w:cs="Times-Roman"/>
        </w:rPr>
        <w:t xml:space="preserve">In sociological institutionalist theory, organizational structures constitute the hypothesized infrastructures through which normative, cognitive, and dependence mechanisms exert their influence. In some explanations, the penetration of the state by nongovernmental organizations causes state political stability. If legitimacy-minded, states may conform to a “world culture” as a function of the extent to which culture-carrying international NGOs have an organizational </w:t>
      </w:r>
      <w:r w:rsidRPr="00CD53EC">
        <w:rPr>
          <w:rFonts w:asciiTheme="majorHAnsi" w:hAnsiTheme="majorHAnsi" w:cs="Times-Roman"/>
        </w:rPr>
        <w:lastRenderedPageBreak/>
        <w:t>presence. If motivated instead by bounded rationality, states may adopt and implement policy standards as a function of the pervasiveness of professional associations and academic or private policy-producing organizations. If epistemologically dependent on experts or other innovators, states may defer to the judgments of salient “epistemic communities” or “global governors”. In other explanations, the state’s networks of communication and monitoring are the main mediating structures. States may be vulnerable to legitimacy “peer pressure” from neighboring states or states in the same region. States seeking substantive solutions may be constrained by the number of viable alternative models that are available and may be influenced more by peers that are more available or salient</w:t>
      </w:r>
    </w:p>
    <w:p w:rsidR="00344AB9" w:rsidRPr="00CD53EC" w:rsidRDefault="00344AB9" w:rsidP="00344AB9">
      <w:pPr>
        <w:autoSpaceDE w:val="0"/>
        <w:autoSpaceDN w:val="0"/>
        <w:adjustRightInd w:val="0"/>
        <w:spacing w:after="0"/>
        <w:jc w:val="both"/>
        <w:rPr>
          <w:rFonts w:asciiTheme="majorHAnsi" w:hAnsiTheme="majorHAnsi" w:cs="Times-Roman"/>
          <w:szCs w:val="20"/>
        </w:rPr>
      </w:pPr>
      <w:r w:rsidRPr="00CD53EC">
        <w:rPr>
          <w:rFonts w:asciiTheme="majorHAnsi" w:hAnsiTheme="majorHAnsi" w:cs="Times-Roman"/>
        </w:rPr>
        <w:t>Coercive explanations for policy stability, while not normative or cognitive institutions per se, have received brief mention in the literature. More powerful actors such as international bodies or development agencies (or, for subnational units, the nation-state) may impose policy expectations on less powerful units; they may also promote certain procedures such as legal frameworks or budget schedules to induce less powerful actors to interact with them. Transnational regulatory convergence due to the pervasive imposition of incentives and threats from multinational corporations or by hypothesized “races to the bottom” proceed from organizational structure propositions grounded in state penetration or state ne</w:t>
      </w:r>
      <w:r w:rsidRPr="00CD53EC">
        <w:rPr>
          <w:rFonts w:asciiTheme="majorHAnsi" w:hAnsiTheme="majorHAnsi" w:cs="Times-Roman"/>
          <w:szCs w:val="20"/>
        </w:rPr>
        <w:t>tworks, respectively.</w:t>
      </w:r>
    </w:p>
    <w:p w:rsidR="00344AB9" w:rsidRPr="00CD53EC" w:rsidRDefault="00344AB9" w:rsidP="00344AB9">
      <w:pPr>
        <w:autoSpaceDE w:val="0"/>
        <w:autoSpaceDN w:val="0"/>
        <w:adjustRightInd w:val="0"/>
        <w:spacing w:after="0"/>
        <w:jc w:val="both"/>
        <w:rPr>
          <w:rFonts w:asciiTheme="majorHAnsi" w:hAnsiTheme="majorHAnsi" w:cs="Times-Roman"/>
          <w:szCs w:val="20"/>
        </w:rPr>
      </w:pPr>
    </w:p>
    <w:p w:rsidR="00344AB9" w:rsidRPr="00164744" w:rsidRDefault="00344AB9" w:rsidP="00344AB9">
      <w:pPr>
        <w:autoSpaceDE w:val="0"/>
        <w:autoSpaceDN w:val="0"/>
        <w:adjustRightInd w:val="0"/>
        <w:spacing w:after="0"/>
        <w:jc w:val="both"/>
        <w:rPr>
          <w:rFonts w:asciiTheme="majorHAnsi" w:hAnsiTheme="majorHAnsi" w:cs="Times-Roman"/>
          <w:b/>
          <w:szCs w:val="20"/>
        </w:rPr>
      </w:pPr>
      <w:r w:rsidRPr="00164744">
        <w:rPr>
          <w:rFonts w:asciiTheme="majorHAnsi" w:hAnsiTheme="majorHAnsi" w:cs="Times-Roman"/>
          <w:b/>
          <w:szCs w:val="20"/>
        </w:rPr>
        <w:t>4.2 Actor-Network Theory</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b/>
          <w:bCs/>
          <w:sz w:val="22"/>
          <w:szCs w:val="22"/>
        </w:rPr>
        <w:t>Actor–network theory</w:t>
      </w:r>
      <w:r w:rsidRPr="00164744">
        <w:rPr>
          <w:rFonts w:asciiTheme="majorHAnsi" w:hAnsiTheme="majorHAnsi"/>
          <w:sz w:val="22"/>
          <w:szCs w:val="22"/>
        </w:rPr>
        <w:t xml:space="preserve">, often abbreviated as </w:t>
      </w:r>
      <w:r w:rsidRPr="00164744">
        <w:rPr>
          <w:rFonts w:asciiTheme="majorHAnsi" w:hAnsiTheme="majorHAnsi"/>
          <w:b/>
          <w:bCs/>
          <w:sz w:val="22"/>
          <w:szCs w:val="22"/>
        </w:rPr>
        <w:t>ANT</w:t>
      </w:r>
      <w:r w:rsidRPr="00164744">
        <w:rPr>
          <w:rFonts w:asciiTheme="majorHAnsi" w:hAnsiTheme="majorHAnsi"/>
          <w:sz w:val="22"/>
          <w:szCs w:val="22"/>
        </w:rPr>
        <w:t xml:space="preserve">, is a distinctive approach to </w:t>
      </w:r>
      <w:hyperlink r:id="rId9" w:tooltip="Social theory" w:history="1">
        <w:r w:rsidRPr="00164744">
          <w:rPr>
            <w:rStyle w:val="Hyperlink"/>
            <w:rFonts w:asciiTheme="majorHAnsi" w:hAnsiTheme="majorHAnsi"/>
            <w:sz w:val="22"/>
            <w:szCs w:val="22"/>
          </w:rPr>
          <w:t>social theory</w:t>
        </w:r>
      </w:hyperlink>
      <w:r w:rsidRPr="00164744">
        <w:rPr>
          <w:rFonts w:asciiTheme="majorHAnsi" w:hAnsiTheme="majorHAnsi"/>
          <w:sz w:val="22"/>
          <w:szCs w:val="22"/>
        </w:rPr>
        <w:t xml:space="preserve"> and research which originated in the field of </w:t>
      </w:r>
      <w:hyperlink r:id="rId10" w:tooltip="Science studies" w:history="1">
        <w:r w:rsidRPr="00164744">
          <w:rPr>
            <w:rStyle w:val="Hyperlink"/>
            <w:rFonts w:asciiTheme="majorHAnsi" w:hAnsiTheme="majorHAnsi"/>
            <w:sz w:val="22"/>
            <w:szCs w:val="22"/>
          </w:rPr>
          <w:t>science studies</w:t>
        </w:r>
      </w:hyperlink>
      <w:r w:rsidRPr="00164744">
        <w:rPr>
          <w:rFonts w:asciiTheme="majorHAnsi" w:hAnsiTheme="majorHAnsi"/>
          <w:sz w:val="22"/>
          <w:szCs w:val="22"/>
        </w:rPr>
        <w:t xml:space="preserve">. Although it is best known for its controversial insistence on the </w:t>
      </w:r>
      <w:hyperlink r:id="rId11" w:tooltip="Human agency" w:history="1">
        <w:r w:rsidRPr="00164744">
          <w:rPr>
            <w:rStyle w:val="Hyperlink"/>
            <w:rFonts w:asciiTheme="majorHAnsi" w:hAnsiTheme="majorHAnsi"/>
            <w:sz w:val="22"/>
            <w:szCs w:val="22"/>
          </w:rPr>
          <w:t>agency</w:t>
        </w:r>
      </w:hyperlink>
      <w:r w:rsidRPr="00164744">
        <w:rPr>
          <w:rFonts w:asciiTheme="majorHAnsi" w:hAnsiTheme="majorHAnsi"/>
          <w:sz w:val="22"/>
          <w:szCs w:val="22"/>
        </w:rPr>
        <w:t xml:space="preserve"> of </w:t>
      </w:r>
      <w:hyperlink r:id="rId12" w:tooltip="Non human" w:history="1">
        <w:r w:rsidRPr="00164744">
          <w:rPr>
            <w:rStyle w:val="Hyperlink"/>
            <w:rFonts w:asciiTheme="majorHAnsi" w:hAnsiTheme="majorHAnsi"/>
            <w:sz w:val="22"/>
            <w:szCs w:val="22"/>
          </w:rPr>
          <w:t>nonhumans</w:t>
        </w:r>
      </w:hyperlink>
      <w:r w:rsidRPr="00164744">
        <w:rPr>
          <w:rFonts w:asciiTheme="majorHAnsi" w:hAnsiTheme="majorHAnsi"/>
          <w:sz w:val="22"/>
          <w:szCs w:val="22"/>
        </w:rPr>
        <w:t xml:space="preserve">, ANT is also associated with forceful critiques of conventional and critical sociology. Developed by </w:t>
      </w:r>
      <w:hyperlink r:id="rId13" w:tooltip="Science and technology studies" w:history="1">
        <w:r w:rsidRPr="00164744">
          <w:rPr>
            <w:rStyle w:val="Hyperlink"/>
            <w:rFonts w:asciiTheme="majorHAnsi" w:hAnsiTheme="majorHAnsi"/>
            <w:sz w:val="22"/>
            <w:szCs w:val="22"/>
          </w:rPr>
          <w:t>science and technology studies</w:t>
        </w:r>
      </w:hyperlink>
      <w:r w:rsidRPr="00164744">
        <w:rPr>
          <w:rFonts w:asciiTheme="majorHAnsi" w:hAnsiTheme="majorHAnsi"/>
          <w:sz w:val="22"/>
          <w:szCs w:val="22"/>
        </w:rPr>
        <w:t xml:space="preserve"> scholars </w:t>
      </w:r>
      <w:hyperlink r:id="rId14" w:tooltip="Michel Callon" w:history="1">
        <w:r w:rsidRPr="00164744">
          <w:rPr>
            <w:rStyle w:val="Hyperlink"/>
            <w:rFonts w:asciiTheme="majorHAnsi" w:hAnsiTheme="majorHAnsi"/>
            <w:sz w:val="22"/>
            <w:szCs w:val="22"/>
          </w:rPr>
          <w:t>Michel Callon</w:t>
        </w:r>
      </w:hyperlink>
      <w:r w:rsidRPr="00164744">
        <w:rPr>
          <w:rFonts w:asciiTheme="majorHAnsi" w:hAnsiTheme="majorHAnsi"/>
          <w:sz w:val="22"/>
          <w:szCs w:val="22"/>
        </w:rPr>
        <w:t xml:space="preserve"> and </w:t>
      </w:r>
      <w:hyperlink r:id="rId15" w:tooltip="Bruno Latour" w:history="1">
        <w:r w:rsidRPr="00164744">
          <w:rPr>
            <w:rStyle w:val="Hyperlink"/>
            <w:rFonts w:asciiTheme="majorHAnsi" w:hAnsiTheme="majorHAnsi"/>
            <w:sz w:val="22"/>
            <w:szCs w:val="22"/>
          </w:rPr>
          <w:t>Bruno Latour</w:t>
        </w:r>
      </w:hyperlink>
      <w:r w:rsidRPr="00164744">
        <w:rPr>
          <w:rFonts w:asciiTheme="majorHAnsi" w:hAnsiTheme="majorHAnsi"/>
          <w:sz w:val="22"/>
          <w:szCs w:val="22"/>
        </w:rPr>
        <w:t xml:space="preserve">, the sociologist </w:t>
      </w:r>
      <w:hyperlink r:id="rId16" w:tooltip="John Law (sociologist)" w:history="1">
        <w:r w:rsidRPr="00164744">
          <w:rPr>
            <w:rStyle w:val="Hyperlink"/>
            <w:rFonts w:asciiTheme="majorHAnsi" w:hAnsiTheme="majorHAnsi"/>
            <w:sz w:val="22"/>
            <w:szCs w:val="22"/>
          </w:rPr>
          <w:t>John Law</w:t>
        </w:r>
      </w:hyperlink>
      <w:r w:rsidRPr="00164744">
        <w:rPr>
          <w:rFonts w:asciiTheme="majorHAnsi" w:hAnsiTheme="majorHAnsi"/>
          <w:sz w:val="22"/>
          <w:szCs w:val="22"/>
        </w:rPr>
        <w:t xml:space="preserve">, and others, it can more technically be described as a "material-semiotic" method. This means that it maps relations that are simultaneously material (between things) and </w:t>
      </w:r>
      <w:hyperlink r:id="rId17" w:tooltip="Semiotic" w:history="1">
        <w:r w:rsidRPr="00164744">
          <w:rPr>
            <w:rStyle w:val="Hyperlink"/>
            <w:rFonts w:asciiTheme="majorHAnsi" w:hAnsiTheme="majorHAnsi"/>
            <w:sz w:val="22"/>
            <w:szCs w:val="22"/>
          </w:rPr>
          <w:t>semiotic</w:t>
        </w:r>
      </w:hyperlink>
      <w:r w:rsidRPr="00164744">
        <w:rPr>
          <w:rFonts w:asciiTheme="majorHAnsi" w:hAnsiTheme="majorHAnsi"/>
          <w:sz w:val="22"/>
          <w:szCs w:val="22"/>
        </w:rPr>
        <w:t xml:space="preserve"> (between concepts). It assumes that many relations are both material and semiotic.</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Actor-Network Theory emphasizes and considers all surrounding factors — no one acts alone. Galileo’s past experiences, his colleagues, his connections with the Astronomer Royal, John Flamsteed, his use of Euclidean geometry, Kepler’s astronomy, Galileo’s mechanics, his tools, the details of his lab, cultural factors and restrictions placed upon him in his environment, and various other technical and non-technical elements would all be described and considered in his actor-network.</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Actor-Network Theory does not typically attempt to explain why a network exists; it is more interested in the infrastructure of actor-networks, how they are formed, how they can fall apart, etc.</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Actor-Network Theory incorporates what is known as a principle of generalized symmetry; that is, what is human and non-human (e.g. artifacts, organization structures) should be integrated into the same conceptual framework and assigned equal amounts of agency. In this way, one gains a detailed description of the concrete mechanisms at work that hold the network together, while allowing an impartial treatment of the actors.</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lastRenderedPageBreak/>
        <w:t xml:space="preserve">Broadly speaking, ANT is a </w:t>
      </w:r>
      <w:hyperlink r:id="rId18" w:tooltip="Social constructivism" w:history="1">
        <w:r w:rsidRPr="00164744">
          <w:rPr>
            <w:rStyle w:val="Hyperlink"/>
            <w:rFonts w:asciiTheme="majorHAnsi" w:hAnsiTheme="majorHAnsi"/>
            <w:sz w:val="22"/>
            <w:szCs w:val="22"/>
          </w:rPr>
          <w:t>constructivist</w:t>
        </w:r>
      </w:hyperlink>
      <w:r w:rsidRPr="00164744">
        <w:rPr>
          <w:rFonts w:asciiTheme="majorHAnsi" w:hAnsiTheme="majorHAnsi"/>
          <w:sz w:val="22"/>
          <w:szCs w:val="22"/>
        </w:rPr>
        <w:t xml:space="preserve"> approach in that it avoids </w:t>
      </w:r>
      <w:hyperlink r:id="rId19" w:tooltip="Essentialist" w:history="1">
        <w:r w:rsidRPr="00164744">
          <w:rPr>
            <w:rStyle w:val="Hyperlink"/>
            <w:rFonts w:asciiTheme="majorHAnsi" w:hAnsiTheme="majorHAnsi"/>
            <w:sz w:val="22"/>
            <w:szCs w:val="22"/>
          </w:rPr>
          <w:t>essentialist</w:t>
        </w:r>
      </w:hyperlink>
      <w:r w:rsidRPr="00164744">
        <w:rPr>
          <w:rFonts w:asciiTheme="majorHAnsi" w:hAnsiTheme="majorHAnsi"/>
          <w:sz w:val="22"/>
          <w:szCs w:val="22"/>
        </w:rPr>
        <w:t xml:space="preserve"> explanations of events or innovations (e.g. explaining a successful theory by saying it is “true” and the others are “false”). However, it is distinguished from many other sociological </w:t>
      </w:r>
      <w:hyperlink r:id="rId20" w:tooltip="Social network" w:history="1">
        <w:r w:rsidRPr="00164744">
          <w:rPr>
            <w:rStyle w:val="Hyperlink"/>
            <w:rFonts w:asciiTheme="majorHAnsi" w:hAnsiTheme="majorHAnsi"/>
            <w:sz w:val="22"/>
            <w:szCs w:val="22"/>
          </w:rPr>
          <w:t>network theory</w:t>
        </w:r>
      </w:hyperlink>
      <w:r w:rsidRPr="00164744">
        <w:rPr>
          <w:rFonts w:asciiTheme="majorHAnsi" w:hAnsiTheme="majorHAnsi"/>
          <w:sz w:val="22"/>
          <w:szCs w:val="22"/>
        </w:rPr>
        <w:t xml:space="preserve"> for its distinct material-semiotic approach.</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Although it is called a “</w:t>
      </w:r>
      <w:hyperlink r:id="rId21" w:tooltip="Philosophical theory" w:history="1">
        <w:r w:rsidRPr="00164744">
          <w:rPr>
            <w:rStyle w:val="Hyperlink"/>
            <w:rFonts w:asciiTheme="majorHAnsi" w:hAnsiTheme="majorHAnsi"/>
            <w:sz w:val="22"/>
            <w:szCs w:val="22"/>
          </w:rPr>
          <w:t>theory</w:t>
        </w:r>
      </w:hyperlink>
      <w:r w:rsidRPr="00164744">
        <w:rPr>
          <w:rFonts w:asciiTheme="majorHAnsi" w:hAnsiTheme="majorHAnsi"/>
          <w:sz w:val="22"/>
          <w:szCs w:val="22"/>
        </w:rPr>
        <w:t>”, ANT does not usually explain “why” or "how" a network takes the form that it does. Rather, ANT is a way of thoroughly exploring the relational ties within a network (which can be a multitude of different things). As Latour notes, "explanation does not follow from description; it is description taken that much further." It is not, in other words, a theory "of" anything, but rather a method, or a "how-to book" as Latour puts it.</w:t>
      </w:r>
    </w:p>
    <w:p w:rsidR="00344AB9" w:rsidRPr="00164744" w:rsidRDefault="00344AB9" w:rsidP="00344AB9">
      <w:pPr>
        <w:pStyle w:val="Heading2"/>
        <w:spacing w:line="276" w:lineRule="auto"/>
        <w:jc w:val="both"/>
        <w:rPr>
          <w:rFonts w:asciiTheme="majorHAnsi" w:hAnsiTheme="majorHAnsi"/>
          <w:sz w:val="22"/>
          <w:szCs w:val="22"/>
        </w:rPr>
      </w:pPr>
      <w:r w:rsidRPr="00164744">
        <w:rPr>
          <w:rFonts w:asciiTheme="majorHAnsi" w:hAnsiTheme="majorHAnsi"/>
          <w:sz w:val="22"/>
          <w:szCs w:val="22"/>
        </w:rPr>
        <w:t> </w:t>
      </w:r>
      <w:r w:rsidRPr="00164744">
        <w:rPr>
          <w:rFonts w:asciiTheme="majorHAnsi" w:hAnsiTheme="majorHAnsi"/>
          <w:sz w:val="22"/>
          <w:szCs w:val="22"/>
        </w:rPr>
        <w:tab/>
        <w:t xml:space="preserve"> </w:t>
      </w:r>
      <w:r w:rsidRPr="00164744">
        <w:rPr>
          <w:rStyle w:val="mw-headline"/>
          <w:rFonts w:asciiTheme="majorHAnsi" w:hAnsiTheme="majorHAnsi"/>
          <w:sz w:val="22"/>
          <w:szCs w:val="22"/>
        </w:rPr>
        <w:t>The Actor-Network</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 xml:space="preserve">The most central concept in ANT is the actor-network. The term "network" is somewhat problematic in that it, as Latour notes, has a number of unwanted connotations. Firstly, it implies that what is described takes the shape of a network, which is not necessarily the case. Secondly, </w:t>
      </w:r>
      <w:bookmarkStart w:id="0" w:name="_GoBack"/>
      <w:r w:rsidRPr="00164744">
        <w:rPr>
          <w:rFonts w:asciiTheme="majorHAnsi" w:hAnsiTheme="majorHAnsi"/>
          <w:sz w:val="22"/>
          <w:szCs w:val="22"/>
        </w:rPr>
        <w:t xml:space="preserve">it </w:t>
      </w:r>
      <w:bookmarkEnd w:id="0"/>
      <w:r w:rsidRPr="00164744">
        <w:rPr>
          <w:rFonts w:asciiTheme="majorHAnsi" w:hAnsiTheme="majorHAnsi"/>
          <w:sz w:val="22"/>
          <w:szCs w:val="22"/>
        </w:rPr>
        <w:t xml:space="preserve">implies "transportation without deformation," which, in ANT, is not possible since any actor-network involves a vast number of </w:t>
      </w:r>
      <w:hyperlink r:id="rId22" w:anchor="Translation" w:history="1">
        <w:r w:rsidRPr="00164744">
          <w:rPr>
            <w:rStyle w:val="Hyperlink"/>
            <w:rFonts w:asciiTheme="majorHAnsi" w:hAnsiTheme="majorHAnsi"/>
            <w:sz w:val="22"/>
            <w:szCs w:val="22"/>
          </w:rPr>
          <w:t>translations</w:t>
        </w:r>
      </w:hyperlink>
      <w:r w:rsidRPr="00164744">
        <w:rPr>
          <w:rFonts w:asciiTheme="majorHAnsi" w:hAnsiTheme="majorHAnsi"/>
          <w:sz w:val="22"/>
          <w:szCs w:val="22"/>
        </w:rPr>
        <w:t xml:space="preserve">. Latour, however, still contends that network is a fitting term to use, because "it has no a priori order relation; it is not tied to the axiological myth of a top and of a bottom of society; it makes absolutely no assumption whether a specific locus is macro- or micro- and does not modify the tools to study the element 'a' or the element 'b'." </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 xml:space="preserve">Actor–network theory tries to explain how material–semiotic networks come together to act as a whole; the clusters of actors involved in creating meaning are both material and semiotic. As a part of this it may look at explicit strategies for relating different elements together into a network so that they form an apparently coherent whole. These networks are potentially transient, existing in a constant making and re-making. This means that relations need to be repeatedly “performed” or the network will dissolve. They also assume that networks of relations are not intrinsically coherent, and may indeed contain conflicts. Social relations, in other words, are only ever in process, and must be </w:t>
      </w:r>
      <w:hyperlink r:id="rId23" w:tooltip="Performativity" w:history="1">
        <w:r w:rsidRPr="00164744">
          <w:rPr>
            <w:rStyle w:val="Hyperlink"/>
            <w:rFonts w:asciiTheme="majorHAnsi" w:hAnsiTheme="majorHAnsi"/>
            <w:sz w:val="22"/>
            <w:szCs w:val="22"/>
          </w:rPr>
          <w:t>performed</w:t>
        </w:r>
      </w:hyperlink>
      <w:r w:rsidRPr="00164744">
        <w:rPr>
          <w:rFonts w:asciiTheme="majorHAnsi" w:hAnsiTheme="majorHAnsi"/>
          <w:sz w:val="22"/>
          <w:szCs w:val="22"/>
        </w:rPr>
        <w:t xml:space="preserve"> continuously.</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Actants denote human and non-human actors, and in a network take the shape that they do by virtue of their relations with one another. It assumes that nothing lies outside the network of relations, and as noted above, suggests that there is no difference in the ability of technology, humans, animals, or other non-humans to act (and that there are only enacted alliances.) As soon as an actor engages with an actor-network it too is caught up in the web of relations, and becomes part of the “</w:t>
      </w:r>
      <w:hyperlink r:id="rId24" w:anchor="Entelechy_or_entelechia" w:tooltip="Entelechy" w:history="1">
        <w:r w:rsidRPr="00164744">
          <w:rPr>
            <w:rStyle w:val="Hyperlink"/>
            <w:rFonts w:asciiTheme="majorHAnsi" w:hAnsiTheme="majorHAnsi"/>
            <w:sz w:val="22"/>
            <w:szCs w:val="22"/>
          </w:rPr>
          <w:t>Entelechy</w:t>
        </w:r>
      </w:hyperlink>
      <w:r w:rsidRPr="00164744">
        <w:rPr>
          <w:rFonts w:asciiTheme="majorHAnsi" w:hAnsiTheme="majorHAnsi"/>
          <w:sz w:val="22"/>
          <w:szCs w:val="22"/>
        </w:rPr>
        <w:t>”.</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 xml:space="preserve">If taken to its logical conclusion, then, nearly any actor can be considered merely a sum of other, smaller actors. A car is an example of a complex system. It contains many electronic and </w:t>
      </w:r>
      <w:hyperlink r:id="rId25" w:tooltip="Machine" w:history="1">
        <w:r w:rsidRPr="00164744">
          <w:rPr>
            <w:rStyle w:val="Hyperlink"/>
            <w:rFonts w:asciiTheme="majorHAnsi" w:hAnsiTheme="majorHAnsi"/>
            <w:sz w:val="22"/>
            <w:szCs w:val="22"/>
          </w:rPr>
          <w:t>mechanical</w:t>
        </w:r>
      </w:hyperlink>
      <w:r w:rsidRPr="00164744">
        <w:rPr>
          <w:rFonts w:asciiTheme="majorHAnsi" w:hAnsiTheme="majorHAnsi"/>
          <w:sz w:val="22"/>
          <w:szCs w:val="22"/>
        </w:rPr>
        <w:t xml:space="preserve"> components, all of which are essentially hidden from view to the driver, who simply deals with the car as a single object. This effect is known as </w:t>
      </w:r>
      <w:r w:rsidRPr="00164744">
        <w:rPr>
          <w:rFonts w:asciiTheme="majorHAnsi" w:hAnsiTheme="majorHAnsi"/>
          <w:i/>
          <w:iCs/>
          <w:sz w:val="22"/>
          <w:szCs w:val="22"/>
        </w:rPr>
        <w:t>punctualisation</w:t>
      </w:r>
      <w:r w:rsidRPr="00164744">
        <w:rPr>
          <w:rFonts w:asciiTheme="majorHAnsi" w:hAnsiTheme="majorHAnsi"/>
          <w:sz w:val="22"/>
          <w:szCs w:val="22"/>
        </w:rPr>
        <w:t xml:space="preserve">, and is similar to the idea of </w:t>
      </w:r>
      <w:hyperlink r:id="rId26" w:tooltip="Abstraction" w:history="1">
        <w:r w:rsidRPr="00164744">
          <w:rPr>
            <w:rStyle w:val="Hyperlink"/>
            <w:rFonts w:asciiTheme="majorHAnsi" w:hAnsiTheme="majorHAnsi"/>
            <w:sz w:val="22"/>
            <w:szCs w:val="22"/>
          </w:rPr>
          <w:t>abstraction</w:t>
        </w:r>
      </w:hyperlink>
      <w:r w:rsidRPr="00164744">
        <w:rPr>
          <w:rFonts w:asciiTheme="majorHAnsi" w:hAnsiTheme="majorHAnsi"/>
          <w:sz w:val="22"/>
          <w:szCs w:val="22"/>
        </w:rPr>
        <w:t xml:space="preserve"> in </w:t>
      </w:r>
      <w:hyperlink r:id="rId27" w:tooltip="Object-oriented programming" w:history="1">
        <w:r w:rsidRPr="00164744">
          <w:rPr>
            <w:rStyle w:val="Hyperlink"/>
            <w:rFonts w:asciiTheme="majorHAnsi" w:hAnsiTheme="majorHAnsi"/>
            <w:sz w:val="22"/>
            <w:szCs w:val="22"/>
          </w:rPr>
          <w:t>object-oriented programming</w:t>
        </w:r>
      </w:hyperlink>
      <w:r w:rsidRPr="00164744">
        <w:rPr>
          <w:rFonts w:asciiTheme="majorHAnsi" w:hAnsiTheme="majorHAnsi"/>
          <w:sz w:val="22"/>
          <w:szCs w:val="22"/>
        </w:rPr>
        <w:t>.</w:t>
      </w:r>
    </w:p>
    <w:p w:rsidR="00344AB9" w:rsidRPr="00CD53EC" w:rsidRDefault="00344AB9" w:rsidP="00344AB9">
      <w:pPr>
        <w:pStyle w:val="NormalWeb"/>
        <w:spacing w:line="276" w:lineRule="auto"/>
        <w:jc w:val="both"/>
        <w:rPr>
          <w:rFonts w:asciiTheme="majorHAnsi" w:hAnsiTheme="majorHAnsi"/>
          <w:sz w:val="22"/>
          <w:szCs w:val="22"/>
        </w:rPr>
      </w:pPr>
      <w:r w:rsidRPr="00CD53EC">
        <w:rPr>
          <w:rFonts w:asciiTheme="majorHAnsi" w:hAnsiTheme="majorHAnsi"/>
          <w:sz w:val="22"/>
          <w:szCs w:val="22"/>
        </w:rPr>
        <w:lastRenderedPageBreak/>
        <w:t>When an actor network breaks down, the punctualisation effect tends to cease as well. In the automobile example above, a non-working engine would cause the driver to become aware of the car as a collection of parts rather than just a vehicle capable of transporting him or her from place to place. This can also occur when elements of a network act contrarily to the network as a whole.</w:t>
      </w:r>
    </w:p>
    <w:p w:rsidR="00344AB9" w:rsidRPr="00CD53EC" w:rsidRDefault="00344AB9" w:rsidP="00344AB9">
      <w:pPr>
        <w:pStyle w:val="Heading2"/>
        <w:spacing w:line="276" w:lineRule="auto"/>
        <w:jc w:val="both"/>
        <w:rPr>
          <w:rFonts w:asciiTheme="majorHAnsi" w:hAnsiTheme="majorHAnsi"/>
          <w:sz w:val="22"/>
          <w:szCs w:val="22"/>
        </w:rPr>
      </w:pPr>
      <w:r w:rsidRPr="00CD53EC">
        <w:rPr>
          <w:rFonts w:asciiTheme="majorHAnsi" w:hAnsiTheme="majorHAnsi"/>
          <w:sz w:val="22"/>
          <w:szCs w:val="22"/>
        </w:rPr>
        <w:t> </w:t>
      </w:r>
      <w:r>
        <w:rPr>
          <w:rFonts w:asciiTheme="majorHAnsi" w:hAnsiTheme="majorHAnsi"/>
          <w:sz w:val="22"/>
          <w:szCs w:val="22"/>
        </w:rPr>
        <w:tab/>
      </w:r>
      <w:r w:rsidRPr="00CD53EC">
        <w:rPr>
          <w:rFonts w:asciiTheme="majorHAnsi" w:hAnsiTheme="majorHAnsi"/>
          <w:sz w:val="22"/>
          <w:szCs w:val="22"/>
        </w:rPr>
        <w:t xml:space="preserve"> </w:t>
      </w:r>
      <w:r w:rsidRPr="00CD53EC">
        <w:rPr>
          <w:rStyle w:val="mw-headline"/>
          <w:rFonts w:asciiTheme="majorHAnsi" w:hAnsiTheme="majorHAnsi"/>
          <w:sz w:val="22"/>
          <w:szCs w:val="22"/>
        </w:rPr>
        <w:t>Human and non-human actors</w:t>
      </w:r>
    </w:p>
    <w:p w:rsidR="00344AB9" w:rsidRPr="00CD53EC" w:rsidRDefault="00344AB9" w:rsidP="00344AB9">
      <w:pPr>
        <w:pStyle w:val="NormalWeb"/>
        <w:spacing w:line="276" w:lineRule="auto"/>
        <w:jc w:val="both"/>
        <w:rPr>
          <w:rFonts w:asciiTheme="majorHAnsi" w:hAnsiTheme="majorHAnsi"/>
          <w:sz w:val="22"/>
          <w:szCs w:val="22"/>
        </w:rPr>
      </w:pPr>
      <w:r w:rsidRPr="00CD53EC">
        <w:rPr>
          <w:rFonts w:asciiTheme="majorHAnsi" w:hAnsiTheme="majorHAnsi"/>
          <w:sz w:val="22"/>
          <w:szCs w:val="22"/>
        </w:rPr>
        <w:t xml:space="preserve">ANT is often associated with the equal treatment of human, as well as non-human actors. ANT assumes that all entities in a network can and should be described in the same terms. This is called the principle of </w:t>
      </w:r>
      <w:hyperlink r:id="rId28" w:tooltip="Generalized symmetry (page does not exist)" w:history="1">
        <w:r w:rsidRPr="00164744">
          <w:rPr>
            <w:rStyle w:val="Hyperlink"/>
            <w:rFonts w:asciiTheme="majorHAnsi" w:hAnsiTheme="majorHAnsi"/>
            <w:i/>
            <w:iCs/>
            <w:sz w:val="22"/>
            <w:szCs w:val="22"/>
          </w:rPr>
          <w:t>generalized symmetry</w:t>
        </w:r>
      </w:hyperlink>
      <w:r w:rsidRPr="00CD53EC">
        <w:rPr>
          <w:rFonts w:asciiTheme="majorHAnsi" w:hAnsiTheme="majorHAnsi"/>
          <w:sz w:val="22"/>
          <w:szCs w:val="22"/>
        </w:rPr>
        <w:t>. The rationale for this is that differences between them are generated in the network of relations, and should not be presupposed.</w:t>
      </w:r>
    </w:p>
    <w:p w:rsidR="00344AB9" w:rsidRPr="00164744" w:rsidRDefault="00344AB9" w:rsidP="00344AB9">
      <w:pPr>
        <w:pStyle w:val="Heading3"/>
        <w:jc w:val="both"/>
        <w:rPr>
          <w:color w:val="auto"/>
        </w:rPr>
      </w:pPr>
      <w:r w:rsidRPr="00CD53EC">
        <w:t xml:space="preserve">  </w:t>
      </w:r>
      <w:r>
        <w:tab/>
      </w:r>
      <w:r w:rsidRPr="00164744">
        <w:rPr>
          <w:rStyle w:val="mw-headline"/>
          <w:color w:val="auto"/>
        </w:rPr>
        <w:t>Intermediaries and mediators</w:t>
      </w:r>
    </w:p>
    <w:p w:rsidR="00344AB9" w:rsidRPr="00CD53EC" w:rsidRDefault="00344AB9" w:rsidP="00344AB9">
      <w:pPr>
        <w:pStyle w:val="NormalWeb"/>
        <w:spacing w:line="276" w:lineRule="auto"/>
        <w:jc w:val="both"/>
        <w:rPr>
          <w:rFonts w:asciiTheme="majorHAnsi" w:hAnsiTheme="majorHAnsi"/>
          <w:sz w:val="22"/>
          <w:szCs w:val="22"/>
        </w:rPr>
      </w:pPr>
      <w:r w:rsidRPr="00CD53EC">
        <w:rPr>
          <w:rFonts w:asciiTheme="majorHAnsi" w:hAnsiTheme="majorHAnsi"/>
          <w:sz w:val="22"/>
          <w:szCs w:val="22"/>
        </w:rPr>
        <w:t>The distinction between intermediaries and mediators is key to ANT sociology. Intermediaries are entities which make no difference (to some interesting state of affairs which we are studying) and so can be ignored. They transport the force of some other entity more or less without transformation and so are fairly uninteresting. Mediators are entities which multiply difference and so should be the object of study. Their outputs cannot be predicted by their inputs. From an ANT point of view sociology has tended to treat too much of the world as intermediaries.</w:t>
      </w:r>
    </w:p>
    <w:p w:rsidR="00344AB9" w:rsidRPr="00CD53EC" w:rsidRDefault="00344AB9" w:rsidP="00344AB9">
      <w:pPr>
        <w:pStyle w:val="NormalWeb"/>
        <w:spacing w:line="276" w:lineRule="auto"/>
        <w:jc w:val="both"/>
        <w:rPr>
          <w:rFonts w:asciiTheme="majorHAnsi" w:hAnsiTheme="majorHAnsi"/>
          <w:sz w:val="22"/>
          <w:szCs w:val="22"/>
        </w:rPr>
      </w:pPr>
      <w:r w:rsidRPr="00CD53EC">
        <w:rPr>
          <w:rFonts w:asciiTheme="majorHAnsi" w:hAnsiTheme="majorHAnsi"/>
          <w:sz w:val="22"/>
          <w:szCs w:val="22"/>
        </w:rPr>
        <w:t>For instance, a sociologist might take silk and nylon as intermediaries, holding that the former “means”, “reflects”, or “symbolizes” the upper classes and the latter the lower classes. In such a view the real world silk–nylon difference is irrelevant — presumably many other material differences could also, and do also, transport this class distinction. But taken as mediators these fabrics would have to be engaged with by the analyst in their specificity: the internal real-world complexities of silk and nylon suddenly appear relevant, and are seen as actively constructing the ideological class distinction which they once merely reflected.</w:t>
      </w:r>
    </w:p>
    <w:p w:rsidR="00344AB9" w:rsidRPr="00CD53EC" w:rsidRDefault="00344AB9" w:rsidP="00344AB9">
      <w:pPr>
        <w:pStyle w:val="NormalWeb"/>
        <w:spacing w:line="276" w:lineRule="auto"/>
        <w:jc w:val="both"/>
        <w:rPr>
          <w:rFonts w:asciiTheme="majorHAnsi" w:hAnsiTheme="majorHAnsi"/>
          <w:sz w:val="22"/>
          <w:szCs w:val="22"/>
        </w:rPr>
      </w:pPr>
      <w:r w:rsidRPr="00CD53EC">
        <w:rPr>
          <w:rFonts w:asciiTheme="majorHAnsi" w:hAnsiTheme="majorHAnsi"/>
          <w:sz w:val="22"/>
          <w:szCs w:val="22"/>
        </w:rPr>
        <w:t>For the committed ANT analyst, social things—like class distinctions in taste in the silk and nylon example, but also groups and power—must constantly be constructed or performed anew through complex engagements with complex mediators. There is no stand-alone social repertoire lying in the background to be reflected off, expressed through, or substantiated in, interactions (as in an intermediary conception).</w:t>
      </w:r>
    </w:p>
    <w:p w:rsidR="00344AB9" w:rsidRPr="00CD53EC" w:rsidRDefault="00344AB9" w:rsidP="00344AB9">
      <w:pPr>
        <w:pStyle w:val="Heading2"/>
        <w:spacing w:line="276" w:lineRule="auto"/>
        <w:jc w:val="both"/>
        <w:rPr>
          <w:rFonts w:asciiTheme="majorHAnsi" w:hAnsiTheme="majorHAnsi"/>
          <w:sz w:val="22"/>
          <w:szCs w:val="22"/>
        </w:rPr>
      </w:pPr>
      <w:r w:rsidRPr="00CD53EC">
        <w:rPr>
          <w:rStyle w:val="mw-headline"/>
          <w:rFonts w:asciiTheme="majorHAnsi" w:hAnsiTheme="majorHAnsi"/>
          <w:sz w:val="22"/>
          <w:szCs w:val="22"/>
        </w:rPr>
        <w:t>Criticism</w:t>
      </w:r>
    </w:p>
    <w:p w:rsidR="00344AB9" w:rsidRPr="00164744"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 xml:space="preserve">Actor–network theory insists on the </w:t>
      </w:r>
      <w:hyperlink r:id="rId29" w:tooltip="Human agency" w:history="1">
        <w:r w:rsidRPr="00164744">
          <w:rPr>
            <w:rStyle w:val="Hyperlink"/>
            <w:rFonts w:asciiTheme="majorHAnsi" w:hAnsiTheme="majorHAnsi"/>
            <w:sz w:val="22"/>
            <w:szCs w:val="22"/>
          </w:rPr>
          <w:t>agency</w:t>
        </w:r>
      </w:hyperlink>
      <w:r w:rsidRPr="00164744">
        <w:rPr>
          <w:rFonts w:asciiTheme="majorHAnsi" w:hAnsiTheme="majorHAnsi"/>
          <w:sz w:val="22"/>
          <w:szCs w:val="22"/>
        </w:rPr>
        <w:t xml:space="preserve"> of </w:t>
      </w:r>
      <w:hyperlink r:id="rId30" w:tooltip="Non human" w:history="1">
        <w:r w:rsidRPr="00164744">
          <w:rPr>
            <w:rStyle w:val="Hyperlink"/>
            <w:rFonts w:asciiTheme="majorHAnsi" w:hAnsiTheme="majorHAnsi"/>
            <w:sz w:val="22"/>
            <w:szCs w:val="22"/>
          </w:rPr>
          <w:t>nonhumans</w:t>
        </w:r>
      </w:hyperlink>
      <w:r w:rsidRPr="00164744">
        <w:rPr>
          <w:rFonts w:asciiTheme="majorHAnsi" w:hAnsiTheme="majorHAnsi"/>
          <w:sz w:val="22"/>
          <w:szCs w:val="22"/>
        </w:rPr>
        <w:t xml:space="preserve">. Critics maintain that such properties as </w:t>
      </w:r>
      <w:r w:rsidRPr="00164744">
        <w:rPr>
          <w:rFonts w:asciiTheme="majorHAnsi" w:hAnsiTheme="majorHAnsi"/>
          <w:i/>
          <w:iCs/>
          <w:sz w:val="22"/>
          <w:szCs w:val="22"/>
        </w:rPr>
        <w:t>intentionality</w:t>
      </w:r>
      <w:r w:rsidRPr="00164744">
        <w:rPr>
          <w:rFonts w:asciiTheme="majorHAnsi" w:hAnsiTheme="majorHAnsi"/>
          <w:sz w:val="22"/>
          <w:szCs w:val="22"/>
        </w:rPr>
        <w:t xml:space="preserve"> fundamentally distinguish humans from animals or from “things” ANT scholars respond with the following arguments:</w:t>
      </w:r>
    </w:p>
    <w:p w:rsidR="00344AB9" w:rsidRPr="00164744" w:rsidRDefault="00344AB9" w:rsidP="00344AB9">
      <w:pPr>
        <w:numPr>
          <w:ilvl w:val="0"/>
          <w:numId w:val="1"/>
        </w:numPr>
        <w:spacing w:before="100" w:beforeAutospacing="1" w:after="100" w:afterAutospacing="1"/>
        <w:jc w:val="both"/>
        <w:rPr>
          <w:rFonts w:asciiTheme="majorHAnsi" w:hAnsiTheme="majorHAnsi"/>
        </w:rPr>
      </w:pPr>
      <w:r w:rsidRPr="00164744">
        <w:rPr>
          <w:rFonts w:asciiTheme="majorHAnsi" w:hAnsiTheme="majorHAnsi"/>
        </w:rPr>
        <w:t xml:space="preserve">They do not attribute intentionality and similar properties to </w:t>
      </w:r>
      <w:hyperlink r:id="rId31" w:tooltip="Non human" w:history="1">
        <w:r w:rsidRPr="00164744">
          <w:rPr>
            <w:rStyle w:val="Hyperlink"/>
            <w:rFonts w:asciiTheme="majorHAnsi" w:hAnsiTheme="majorHAnsi"/>
          </w:rPr>
          <w:t>nonhumans</w:t>
        </w:r>
      </w:hyperlink>
      <w:r w:rsidRPr="00164744">
        <w:rPr>
          <w:rFonts w:asciiTheme="majorHAnsi" w:hAnsiTheme="majorHAnsi"/>
        </w:rPr>
        <w:t>.</w:t>
      </w:r>
    </w:p>
    <w:p w:rsidR="00344AB9" w:rsidRPr="00164744" w:rsidRDefault="00344AB9" w:rsidP="00344AB9">
      <w:pPr>
        <w:numPr>
          <w:ilvl w:val="0"/>
          <w:numId w:val="1"/>
        </w:numPr>
        <w:spacing w:before="100" w:beforeAutospacing="1" w:after="100" w:afterAutospacing="1"/>
        <w:jc w:val="both"/>
        <w:rPr>
          <w:rFonts w:asciiTheme="majorHAnsi" w:hAnsiTheme="majorHAnsi"/>
        </w:rPr>
      </w:pPr>
      <w:r w:rsidRPr="00164744">
        <w:rPr>
          <w:rFonts w:asciiTheme="majorHAnsi" w:hAnsiTheme="majorHAnsi"/>
        </w:rPr>
        <w:t xml:space="preserve">Their conception of </w:t>
      </w:r>
      <w:hyperlink r:id="rId32" w:tooltip="Human agency" w:history="1">
        <w:r w:rsidRPr="00164744">
          <w:rPr>
            <w:rStyle w:val="Hyperlink"/>
            <w:rFonts w:asciiTheme="majorHAnsi" w:hAnsiTheme="majorHAnsi"/>
          </w:rPr>
          <w:t>agency</w:t>
        </w:r>
      </w:hyperlink>
      <w:r w:rsidRPr="00164744">
        <w:rPr>
          <w:rFonts w:asciiTheme="majorHAnsi" w:hAnsiTheme="majorHAnsi"/>
        </w:rPr>
        <w:t xml:space="preserve"> does not presuppose intentionality.</w:t>
      </w:r>
    </w:p>
    <w:p w:rsidR="00344AB9" w:rsidRPr="00164744" w:rsidRDefault="00344AB9" w:rsidP="00344AB9">
      <w:pPr>
        <w:numPr>
          <w:ilvl w:val="0"/>
          <w:numId w:val="1"/>
        </w:numPr>
        <w:spacing w:before="100" w:beforeAutospacing="1" w:after="100" w:afterAutospacing="1"/>
        <w:jc w:val="both"/>
        <w:rPr>
          <w:rFonts w:asciiTheme="majorHAnsi" w:hAnsiTheme="majorHAnsi"/>
        </w:rPr>
      </w:pPr>
      <w:r w:rsidRPr="00164744">
        <w:rPr>
          <w:rFonts w:asciiTheme="majorHAnsi" w:hAnsiTheme="majorHAnsi"/>
        </w:rPr>
        <w:lastRenderedPageBreak/>
        <w:t>They locate agency neither in human “subjects” nor in non-human “objects”, but in heterogeneous associations of humans and nonhumans.</w:t>
      </w:r>
    </w:p>
    <w:p w:rsidR="00344AB9" w:rsidRPr="00CD53EC" w:rsidRDefault="00344AB9" w:rsidP="00344AB9">
      <w:pPr>
        <w:pStyle w:val="NormalWeb"/>
        <w:spacing w:line="276" w:lineRule="auto"/>
        <w:jc w:val="both"/>
        <w:rPr>
          <w:rFonts w:asciiTheme="majorHAnsi" w:hAnsiTheme="majorHAnsi"/>
          <w:sz w:val="22"/>
          <w:szCs w:val="22"/>
        </w:rPr>
      </w:pPr>
      <w:r w:rsidRPr="00164744">
        <w:rPr>
          <w:rFonts w:asciiTheme="majorHAnsi" w:hAnsiTheme="majorHAnsi"/>
          <w:sz w:val="22"/>
          <w:szCs w:val="22"/>
        </w:rPr>
        <w:t xml:space="preserve">ANT has been criticized as amoral. </w:t>
      </w:r>
      <w:hyperlink r:id="rId33" w:tooltip="Wiebe Bijker" w:history="1">
        <w:r w:rsidRPr="00164744">
          <w:rPr>
            <w:rStyle w:val="Hyperlink"/>
            <w:rFonts w:asciiTheme="majorHAnsi" w:hAnsiTheme="majorHAnsi"/>
            <w:sz w:val="22"/>
            <w:szCs w:val="22"/>
          </w:rPr>
          <w:t>Wiebe Bijker</w:t>
        </w:r>
      </w:hyperlink>
      <w:r w:rsidRPr="00164744">
        <w:rPr>
          <w:rFonts w:asciiTheme="majorHAnsi" w:hAnsiTheme="majorHAnsi"/>
          <w:sz w:val="22"/>
          <w:szCs w:val="22"/>
        </w:rPr>
        <w:t xml:space="preserve"> has responded to this criticism by stating that the amorality of ANT is not a necessity. Moral and political positions are possible, but one must first describe the network before taking up such positions</w:t>
      </w:r>
      <w:r w:rsidRPr="00CD53EC">
        <w:rPr>
          <w:rFonts w:asciiTheme="majorHAnsi" w:hAnsiTheme="majorHAnsi"/>
          <w:sz w:val="22"/>
          <w:szCs w:val="22"/>
        </w:rPr>
        <w:t>.</w:t>
      </w:r>
    </w:p>
    <w:p w:rsidR="00344AB9" w:rsidRPr="00CD53EC" w:rsidRDefault="00344AB9" w:rsidP="00344AB9">
      <w:pPr>
        <w:pStyle w:val="NormalWeb"/>
        <w:spacing w:line="276" w:lineRule="auto"/>
        <w:jc w:val="both"/>
        <w:rPr>
          <w:rFonts w:asciiTheme="majorHAnsi" w:hAnsiTheme="majorHAnsi"/>
          <w:sz w:val="22"/>
          <w:szCs w:val="22"/>
        </w:rPr>
      </w:pPr>
      <w:r w:rsidRPr="00CD53EC">
        <w:rPr>
          <w:rFonts w:asciiTheme="majorHAnsi" w:hAnsiTheme="majorHAnsi"/>
          <w:sz w:val="22"/>
          <w:szCs w:val="22"/>
        </w:rPr>
        <w:t xml:space="preserve">Whittle and Spicer note that "ANT has also sought to move beyond deterministic models that trace organizational phenomena back to powerful individuals, social structures, hegemonic discourses or technological effects. Rather, ANT prefers to seek out complex patterns of causality rooted in connections between actors." They argue that ANT's ontological realism makes it, "less well equipped for pursuing a critical account of organizations </w:t>
      </w:r>
      <w:r w:rsidRPr="00CD53EC">
        <w:rPr>
          <w:rFonts w:asciiTheme="majorHAnsi" w:hAnsiTheme="majorHAnsi"/>
          <w:sz w:val="22"/>
          <w:szCs w:val="22"/>
        </w:rPr>
        <w:softHyphen/>
        <w:t>that is, one which recognises the unfolding nature of reality, considers the limits of knowledge and seeks to challenge structures of domination." This implies that ANT does not account for pre-existing structures, such as power, but rather sees these structures as emerging from the actions of actors within the network and their ability to align in pursuit of their interests. ANT can be seen as an attempt to explain successful innovators by saying only that they were successful. Likewise, for organization studies, Whittle and Spicer assert that ANT is, "ill-suited to the task of developing political alternatives to the imaginaries of market managerialism."</w:t>
      </w:r>
    </w:p>
    <w:p w:rsidR="00344AB9" w:rsidRPr="00A81C43" w:rsidRDefault="00344AB9" w:rsidP="00344AB9">
      <w:pPr>
        <w:jc w:val="both"/>
        <w:rPr>
          <w:rFonts w:asciiTheme="majorHAnsi" w:hAnsiTheme="majorHAnsi"/>
        </w:rPr>
      </w:pPr>
      <w:r w:rsidRPr="00CD53EC">
        <w:rPr>
          <w:rFonts w:asciiTheme="majorHAnsi" w:hAnsiTheme="majorHAnsi"/>
        </w:rPr>
        <w:t>Some critics have argued that research based on ANT perspectives remains entirely descriptive and fails to provide explanations for social processes. ANT—like comparable social scientific methods—requires judgement calls from the researcher as to which actors are important within a network and which are not. Critics argue that the importance of particular actors cannot be determined in the absence of “out-of-network” criteria.</w:t>
      </w:r>
    </w:p>
    <w:p w:rsidR="00344AB9" w:rsidRPr="00CD53EC" w:rsidRDefault="00344AB9" w:rsidP="00344AB9">
      <w:pPr>
        <w:ind w:left="720" w:firstLine="720"/>
        <w:jc w:val="both"/>
        <w:rPr>
          <w:rFonts w:asciiTheme="majorHAnsi" w:hAnsiTheme="majorHAnsi"/>
          <w:b/>
        </w:rPr>
      </w:pPr>
      <w:r w:rsidRPr="00CD53EC">
        <w:rPr>
          <w:rFonts w:asciiTheme="majorHAnsi" w:hAnsiTheme="majorHAnsi"/>
          <w:b/>
        </w:rPr>
        <w:t>4.3 Performativity Theory</w:t>
      </w:r>
    </w:p>
    <w:p w:rsidR="00344AB9" w:rsidRPr="00CD53EC" w:rsidRDefault="00344AB9" w:rsidP="00344AB9">
      <w:pPr>
        <w:autoSpaceDE w:val="0"/>
        <w:autoSpaceDN w:val="0"/>
        <w:adjustRightInd w:val="0"/>
        <w:spacing w:after="0"/>
        <w:jc w:val="both"/>
        <w:rPr>
          <w:rFonts w:asciiTheme="majorHAnsi" w:hAnsiTheme="majorHAnsi" w:cs="Garamond-Light"/>
        </w:rPr>
      </w:pPr>
      <w:r w:rsidRPr="00CD53EC">
        <w:rPr>
          <w:rFonts w:asciiTheme="majorHAnsi" w:hAnsiTheme="majorHAnsi" w:cs="Garamond-Light"/>
        </w:rPr>
        <w:t>The approach developed by Bruno Latour and Michel Callon for the sociology of science studies, called Actor-Network-Theory, also has been used by Callon to study the economy. The notion of performativity refers to the interplay between theories of the economy and the economy (“reality”). Callon says that his position “consists in maintaining that economics, in the broad sense of the term, performs, shapes and formats the economy, rather than observing how it functions”.</w:t>
      </w:r>
      <w:r w:rsidRPr="00CD53EC">
        <w:rPr>
          <w:rFonts w:asciiTheme="majorHAnsi" w:hAnsiTheme="majorHAnsi" w:cs="Garamond-Light"/>
        </w:rPr>
        <w:tab/>
      </w:r>
    </w:p>
    <w:p w:rsidR="00344AB9" w:rsidRPr="00CD53EC" w:rsidRDefault="00344AB9" w:rsidP="00344AB9">
      <w:pPr>
        <w:autoSpaceDE w:val="0"/>
        <w:autoSpaceDN w:val="0"/>
        <w:adjustRightInd w:val="0"/>
        <w:spacing w:after="0"/>
        <w:jc w:val="both"/>
        <w:rPr>
          <w:rFonts w:asciiTheme="majorHAnsi" w:hAnsiTheme="majorHAnsi" w:cs="Garamond-Light"/>
        </w:rPr>
      </w:pPr>
      <w:r w:rsidRPr="00CD53EC">
        <w:rPr>
          <w:rFonts w:asciiTheme="majorHAnsi" w:hAnsiTheme="majorHAnsi" w:cs="Garamond-Light"/>
        </w:rPr>
        <w:t>Performativity, according to Callon, means that economic actors, much like scientists who develop theories of the world, use these theories when interacting with the world, thereby shaping it according to their theories. In this way, they perform the economy, making the real economy more like the theories of it. Callon argues: “[The] economy is embedded not in society but in economics”. He also stresses the role of economics in explaining how the economy performs. A key idea of Callon’s is that the economy is produced in relation to increased codified economic knowledge. This knowledge includes neoclassical theory, as well as accounting techniques and marketing. Neoclassical theory has a special place in the discussion on performativity, although economics at large is the main issue.</w:t>
      </w:r>
    </w:p>
    <w:p w:rsidR="00344AB9" w:rsidRPr="00CD53EC" w:rsidRDefault="00344AB9" w:rsidP="00344AB9">
      <w:pPr>
        <w:autoSpaceDE w:val="0"/>
        <w:autoSpaceDN w:val="0"/>
        <w:adjustRightInd w:val="0"/>
        <w:spacing w:after="0"/>
        <w:jc w:val="both"/>
        <w:rPr>
          <w:rFonts w:asciiTheme="majorHAnsi" w:hAnsiTheme="majorHAnsi" w:cs="Garamond-Light"/>
        </w:rPr>
      </w:pPr>
    </w:p>
    <w:p w:rsidR="00344AB9" w:rsidRPr="00CD53EC" w:rsidRDefault="00344AB9" w:rsidP="00344AB9">
      <w:pPr>
        <w:jc w:val="both"/>
        <w:rPr>
          <w:rFonts w:asciiTheme="majorHAnsi" w:hAnsiTheme="majorHAnsi"/>
        </w:rPr>
      </w:pPr>
      <w:r w:rsidRPr="00CD53EC">
        <w:rPr>
          <w:rFonts w:asciiTheme="majorHAnsi" w:hAnsiTheme="majorHAnsi"/>
        </w:rPr>
        <w:lastRenderedPageBreak/>
        <w:t>There are two different types of markets, fixed-role markets and switch-role markets, and no existing theory can be used to explain both of them. In fixed-role markets, such as a producer market of garments, actors are identified as either sellers or buyers. In switch-role markets, such as the stock exchange market or currency market, actors are not identified with one role. The other distinction is between standard and status markets. In a status market, order is maintained because the identities of actors on both sides of the market are ranked according to status, which is a more entrenched social construction than the commodity traded in the market. In a market characterized by standards, the situation is reversed: the commodity is a more entrenched social construction than the social status of actors in the market.</w:t>
      </w:r>
    </w:p>
    <w:p w:rsidR="00344AB9" w:rsidRDefault="00344AB9" w:rsidP="00A81C43">
      <w:pPr>
        <w:autoSpaceDE w:val="0"/>
        <w:autoSpaceDN w:val="0"/>
        <w:adjustRightInd w:val="0"/>
        <w:spacing w:after="0"/>
        <w:jc w:val="both"/>
        <w:rPr>
          <w:rFonts w:asciiTheme="majorHAnsi" w:hAnsiTheme="majorHAnsi" w:cs="Garamond-Bold"/>
          <w:b/>
          <w:bCs/>
          <w:sz w:val="20"/>
          <w:szCs w:val="18"/>
        </w:rPr>
      </w:pPr>
    </w:p>
    <w:p w:rsidR="00344AB9" w:rsidRDefault="00344AB9" w:rsidP="00344AB9">
      <w:pPr>
        <w:autoSpaceDE w:val="0"/>
        <w:autoSpaceDN w:val="0"/>
        <w:adjustRightInd w:val="0"/>
        <w:spacing w:after="0"/>
        <w:ind w:firstLine="720"/>
        <w:jc w:val="both"/>
        <w:rPr>
          <w:rFonts w:asciiTheme="majorHAnsi" w:hAnsiTheme="majorHAnsi" w:cs="Garamond-Bold"/>
          <w:b/>
          <w:bCs/>
          <w:sz w:val="20"/>
          <w:szCs w:val="18"/>
        </w:rPr>
      </w:pPr>
    </w:p>
    <w:p w:rsidR="00344AB9" w:rsidRPr="00D72A24" w:rsidRDefault="00344AB9" w:rsidP="00344AB9">
      <w:pPr>
        <w:autoSpaceDE w:val="0"/>
        <w:autoSpaceDN w:val="0"/>
        <w:adjustRightInd w:val="0"/>
        <w:spacing w:after="0"/>
        <w:ind w:left="720" w:firstLine="720"/>
        <w:jc w:val="both"/>
        <w:rPr>
          <w:rFonts w:asciiTheme="majorHAnsi" w:hAnsiTheme="majorHAnsi" w:cs="Garamond-Bold"/>
          <w:b/>
          <w:bCs/>
          <w:sz w:val="20"/>
          <w:szCs w:val="18"/>
        </w:rPr>
      </w:pPr>
      <w:r w:rsidRPr="00D72A24">
        <w:rPr>
          <w:rFonts w:asciiTheme="majorHAnsi" w:hAnsiTheme="majorHAnsi" w:cs="Garamond-Bold"/>
          <w:b/>
          <w:bCs/>
          <w:sz w:val="20"/>
          <w:szCs w:val="18"/>
        </w:rPr>
        <w:t>Performing Markets</w:t>
      </w:r>
    </w:p>
    <w:p w:rsidR="00344AB9" w:rsidRPr="00D72A24" w:rsidRDefault="00344AB9" w:rsidP="00344AB9">
      <w:pPr>
        <w:autoSpaceDE w:val="0"/>
        <w:autoSpaceDN w:val="0"/>
        <w:adjustRightInd w:val="0"/>
        <w:spacing w:after="0"/>
        <w:jc w:val="both"/>
        <w:rPr>
          <w:rFonts w:asciiTheme="majorHAnsi" w:hAnsiTheme="majorHAnsi" w:cs="Garamond-Light"/>
        </w:rPr>
      </w:pPr>
      <w:r w:rsidRPr="00D72A24">
        <w:rPr>
          <w:rFonts w:asciiTheme="majorHAnsi" w:hAnsiTheme="majorHAnsi" w:cs="Garamond-Light"/>
        </w:rPr>
        <w:t>Callon argues that the sociological focus should be on economics, which today is largely identical with neoclassical theory. To make it simple, Callon claims that markets should be understood as consequences of theories, whereas most economic sociologists say that the theories must also reflect the variety of real markets. Markets can be performed using the neoclassical price mechanism as a paradigm. Thus, in switch-role markets with standard products, it is particularly likely that the market and the economy are quite similar.</w:t>
      </w:r>
    </w:p>
    <w:p w:rsidR="00344AB9" w:rsidRPr="00D72A24" w:rsidRDefault="00344AB9" w:rsidP="00344AB9">
      <w:pPr>
        <w:autoSpaceDE w:val="0"/>
        <w:autoSpaceDN w:val="0"/>
        <w:adjustRightInd w:val="0"/>
        <w:spacing w:after="0"/>
        <w:jc w:val="both"/>
        <w:rPr>
          <w:rFonts w:asciiTheme="majorHAnsi" w:hAnsiTheme="majorHAnsi" w:cs="Garamond-Light"/>
        </w:rPr>
      </w:pPr>
      <w:r w:rsidRPr="00D72A24">
        <w:rPr>
          <w:rFonts w:asciiTheme="majorHAnsi" w:hAnsiTheme="majorHAnsi" w:cs="Garamond-Light"/>
        </w:rPr>
        <w:t>A correlated point is that the neoclassical price equilibrium theory is the best theory when it comes to explaining what goes on in some real markets, and that Harrison White’s approach is the best we have for other markets. To be concrete: “economics” has essentially developed a price theory of switch-role markets, whereas the theories developed in new economic sociology are about fixed-role markets.</w:t>
      </w:r>
    </w:p>
    <w:p w:rsidR="00344AB9" w:rsidRPr="00195D92" w:rsidRDefault="00344AB9" w:rsidP="00344AB9">
      <w:pPr>
        <w:pStyle w:val="NormalWeb"/>
        <w:spacing w:line="360" w:lineRule="auto"/>
        <w:jc w:val="both"/>
        <w:rPr>
          <w:rFonts w:asciiTheme="majorHAnsi" w:eastAsiaTheme="minorHAnsi" w:hAnsiTheme="majorHAnsi"/>
          <w:b/>
          <w:szCs w:val="22"/>
        </w:rPr>
      </w:pPr>
    </w:p>
    <w:p w:rsidR="00344AB9" w:rsidRPr="00073457" w:rsidRDefault="00344AB9" w:rsidP="00344AB9">
      <w:pPr>
        <w:pStyle w:val="NormalWeb"/>
        <w:spacing w:line="360" w:lineRule="auto"/>
        <w:jc w:val="both"/>
        <w:rPr>
          <w:rFonts w:asciiTheme="majorHAnsi" w:eastAsiaTheme="minorHAnsi" w:hAnsiTheme="majorHAnsi"/>
          <w:sz w:val="22"/>
          <w:szCs w:val="22"/>
        </w:rPr>
      </w:pPr>
    </w:p>
    <w:p w:rsidR="00344AB9" w:rsidRPr="00073457" w:rsidRDefault="00344AB9" w:rsidP="00344AB9">
      <w:pPr>
        <w:pStyle w:val="NormalWeb"/>
        <w:spacing w:line="360" w:lineRule="auto"/>
        <w:jc w:val="both"/>
        <w:rPr>
          <w:rFonts w:asciiTheme="majorHAnsi" w:eastAsiaTheme="minorHAnsi" w:hAnsiTheme="majorHAnsi"/>
          <w:sz w:val="22"/>
          <w:szCs w:val="22"/>
        </w:rPr>
      </w:pPr>
    </w:p>
    <w:p w:rsidR="00344AB9" w:rsidRDefault="00344AB9" w:rsidP="00344AB9">
      <w:pPr>
        <w:pStyle w:val="NormalWeb"/>
        <w:spacing w:line="360" w:lineRule="auto"/>
        <w:jc w:val="both"/>
        <w:rPr>
          <w:rFonts w:asciiTheme="majorHAnsi" w:eastAsiaTheme="minorHAnsi" w:hAnsiTheme="majorHAnsi"/>
          <w:sz w:val="22"/>
          <w:szCs w:val="22"/>
        </w:rPr>
      </w:pPr>
    </w:p>
    <w:p w:rsidR="00344AB9" w:rsidRPr="00073457" w:rsidRDefault="00344AB9" w:rsidP="00344AB9">
      <w:pPr>
        <w:pStyle w:val="NormalWeb"/>
        <w:spacing w:line="360" w:lineRule="auto"/>
        <w:jc w:val="both"/>
        <w:rPr>
          <w:rFonts w:asciiTheme="majorHAnsi" w:eastAsiaTheme="minorHAnsi" w:hAnsiTheme="majorHAnsi"/>
          <w:sz w:val="22"/>
          <w:szCs w:val="22"/>
        </w:rPr>
      </w:pPr>
    </w:p>
    <w:p w:rsidR="00FD13DF" w:rsidRDefault="00FD13DF"/>
    <w:sectPr w:rsidR="00FD13DF" w:rsidSect="00FD13DF">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B64" w:rsidRDefault="00935B64" w:rsidP="00254BA0">
      <w:pPr>
        <w:spacing w:after="0" w:line="240" w:lineRule="auto"/>
      </w:pPr>
      <w:r>
        <w:separator/>
      </w:r>
    </w:p>
  </w:endnote>
  <w:endnote w:type="continuationSeparator" w:id="1">
    <w:p w:rsidR="00935B64" w:rsidRDefault="00935B64" w:rsidP="00254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A0" w:rsidRDefault="00254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554"/>
      <w:docPartObj>
        <w:docPartGallery w:val="Page Numbers (Bottom of Page)"/>
        <w:docPartUnique/>
      </w:docPartObj>
    </w:sdtPr>
    <w:sdtContent>
      <w:p w:rsidR="00254BA0" w:rsidRDefault="00DC00D8">
        <w:pPr>
          <w:pStyle w:val="Footer"/>
          <w:jc w:val="center"/>
        </w:pPr>
        <w:fldSimple w:instr=" PAGE   \* MERGEFORMAT ">
          <w:r w:rsidR="00A81C43">
            <w:rPr>
              <w:noProof/>
            </w:rPr>
            <w:t>7</w:t>
          </w:r>
        </w:fldSimple>
      </w:p>
    </w:sdtContent>
  </w:sdt>
  <w:p w:rsidR="00254BA0" w:rsidRDefault="00254B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A0" w:rsidRDefault="00254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B64" w:rsidRDefault="00935B64" w:rsidP="00254BA0">
      <w:pPr>
        <w:spacing w:after="0" w:line="240" w:lineRule="auto"/>
      </w:pPr>
      <w:r>
        <w:separator/>
      </w:r>
    </w:p>
  </w:footnote>
  <w:footnote w:type="continuationSeparator" w:id="1">
    <w:p w:rsidR="00935B64" w:rsidRDefault="00935B64" w:rsidP="00254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A0" w:rsidRDefault="00254B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A0" w:rsidRDefault="00254B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A0" w:rsidRDefault="00254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C36A6"/>
    <w:multiLevelType w:val="multilevel"/>
    <w:tmpl w:val="977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4AB9"/>
    <w:rsid w:val="000C3ABB"/>
    <w:rsid w:val="00254BA0"/>
    <w:rsid w:val="00344AB9"/>
    <w:rsid w:val="00475AC6"/>
    <w:rsid w:val="005D6672"/>
    <w:rsid w:val="0090438D"/>
    <w:rsid w:val="00935B64"/>
    <w:rsid w:val="00A81C43"/>
    <w:rsid w:val="00D05511"/>
    <w:rsid w:val="00DC00D8"/>
    <w:rsid w:val="00FD1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B9"/>
  </w:style>
  <w:style w:type="paragraph" w:styleId="Heading2">
    <w:name w:val="heading 2"/>
    <w:basedOn w:val="Normal"/>
    <w:link w:val="Heading2Char"/>
    <w:uiPriority w:val="9"/>
    <w:qFormat/>
    <w:rsid w:val="00344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44A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A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44AB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44AB9"/>
    <w:rPr>
      <w:color w:val="0000FF"/>
      <w:u w:val="single"/>
    </w:rPr>
  </w:style>
  <w:style w:type="paragraph" w:styleId="NormalWeb">
    <w:name w:val="Normal (Web)"/>
    <w:basedOn w:val="Normal"/>
    <w:uiPriority w:val="99"/>
    <w:unhideWhenUsed/>
    <w:rsid w:val="00344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44AB9"/>
  </w:style>
  <w:style w:type="paragraph" w:styleId="Header">
    <w:name w:val="header"/>
    <w:basedOn w:val="Normal"/>
    <w:link w:val="HeaderChar"/>
    <w:uiPriority w:val="99"/>
    <w:semiHidden/>
    <w:unhideWhenUsed/>
    <w:rsid w:val="00254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BA0"/>
  </w:style>
  <w:style w:type="paragraph" w:styleId="Footer">
    <w:name w:val="footer"/>
    <w:basedOn w:val="Normal"/>
    <w:link w:val="FooterChar"/>
    <w:uiPriority w:val="99"/>
    <w:unhideWhenUsed/>
    <w:rsid w:val="0025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resilient" TargetMode="External"/><Relationship Id="rId13" Type="http://schemas.openxmlformats.org/officeDocument/2006/relationships/hyperlink" Target="http://dictionary.sensagent.com/Science%20and%20technology%20studies/en-en/" TargetMode="External"/><Relationship Id="rId18" Type="http://schemas.openxmlformats.org/officeDocument/2006/relationships/hyperlink" Target="http://dictionary.sensagent.com/Social%20constructivism/en-en/" TargetMode="External"/><Relationship Id="rId26" Type="http://schemas.openxmlformats.org/officeDocument/2006/relationships/hyperlink" Target="http://dictionary.sensagent.com/Abstraction/en-en/"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dictionary.sensagent.com/Philosophical%20theory/en-en/" TargetMode="External"/><Relationship Id="rId34" Type="http://schemas.openxmlformats.org/officeDocument/2006/relationships/header" Target="header1.xml"/><Relationship Id="rId7" Type="http://schemas.openxmlformats.org/officeDocument/2006/relationships/hyperlink" Target="http://en.wikipedia.org/wiki/Isomorphism" TargetMode="External"/><Relationship Id="rId12" Type="http://schemas.openxmlformats.org/officeDocument/2006/relationships/hyperlink" Target="http://dictionary.sensagent.com/Non%20human/en-en/" TargetMode="External"/><Relationship Id="rId17" Type="http://schemas.openxmlformats.org/officeDocument/2006/relationships/hyperlink" Target="http://dictionary.sensagent.com/Semiotic/en-en/" TargetMode="External"/><Relationship Id="rId25" Type="http://schemas.openxmlformats.org/officeDocument/2006/relationships/hyperlink" Target="http://dictionary.sensagent.com/Machine/en-en/" TargetMode="External"/><Relationship Id="rId33" Type="http://schemas.openxmlformats.org/officeDocument/2006/relationships/hyperlink" Target="http://dictionary.sensagent.com/Wiebe%20Bijker/en-en/"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ictionary.sensagent.com/John%20Law%20%28sociologist%29/en-en/" TargetMode="External"/><Relationship Id="rId20" Type="http://schemas.openxmlformats.org/officeDocument/2006/relationships/hyperlink" Target="http://dictionary.sensagent.com/Social%20network/en-en/" TargetMode="External"/><Relationship Id="rId29" Type="http://schemas.openxmlformats.org/officeDocument/2006/relationships/hyperlink" Target="http://dictionary.sensagent.com/Human%20agency/en-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ary.sensagent.com/Human%20agency/en-en/" TargetMode="External"/><Relationship Id="rId24" Type="http://schemas.openxmlformats.org/officeDocument/2006/relationships/hyperlink" Target="http://dictionary.sensagent.com/Entelechy/en-en/" TargetMode="External"/><Relationship Id="rId32" Type="http://schemas.openxmlformats.org/officeDocument/2006/relationships/hyperlink" Target="http://dictionary.sensagent.com/Human%20agency/en-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ctionary.sensagent.com/Bruno%20Latour/en-en/" TargetMode="External"/><Relationship Id="rId23" Type="http://schemas.openxmlformats.org/officeDocument/2006/relationships/hyperlink" Target="http://dictionary.sensagent.com/Performativity/en-en/" TargetMode="External"/><Relationship Id="rId28" Type="http://schemas.openxmlformats.org/officeDocument/2006/relationships/hyperlink" Target="http://en.wikipedia.org/w/index.php?title=Generalized_symmetry&amp;action=edit&amp;redlink=1" TargetMode="External"/><Relationship Id="rId36" Type="http://schemas.openxmlformats.org/officeDocument/2006/relationships/footer" Target="footer1.xml"/><Relationship Id="rId10" Type="http://schemas.openxmlformats.org/officeDocument/2006/relationships/hyperlink" Target="http://dictionary.sensagent.com/Science%20studies/en-en/" TargetMode="External"/><Relationship Id="rId19" Type="http://schemas.openxmlformats.org/officeDocument/2006/relationships/hyperlink" Target="http://dictionary.sensagent.com/Essentialist/en-en/" TargetMode="External"/><Relationship Id="rId31" Type="http://schemas.openxmlformats.org/officeDocument/2006/relationships/hyperlink" Target="http://dictionary.sensagent.com/Non%20human/en-en/" TargetMode="External"/><Relationship Id="rId4" Type="http://schemas.openxmlformats.org/officeDocument/2006/relationships/webSettings" Target="webSettings.xml"/><Relationship Id="rId9" Type="http://schemas.openxmlformats.org/officeDocument/2006/relationships/hyperlink" Target="http://dictionary.sensagent.com/Social%20theory/en-en/" TargetMode="External"/><Relationship Id="rId14" Type="http://schemas.openxmlformats.org/officeDocument/2006/relationships/hyperlink" Target="http://dictionary.sensagent.com/Michel%20Callon/en-en/" TargetMode="External"/><Relationship Id="rId22" Type="http://schemas.openxmlformats.org/officeDocument/2006/relationships/hyperlink" Target="http://dictionary.sensagent.com/actor-network%20theory/en-en/" TargetMode="External"/><Relationship Id="rId27" Type="http://schemas.openxmlformats.org/officeDocument/2006/relationships/hyperlink" Target="http://dictionary.sensagent.com/Object-oriented%20programming/en-en/" TargetMode="External"/><Relationship Id="rId30" Type="http://schemas.openxmlformats.org/officeDocument/2006/relationships/hyperlink" Target="http://dictionary.sensagent.com/Non%20human/en-en/"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3535</Words>
  <Characters>20156</Characters>
  <Application>Microsoft Office Word</Application>
  <DocSecurity>0</DocSecurity>
  <Lines>167</Lines>
  <Paragraphs>47</Paragraphs>
  <ScaleCrop>false</ScaleCrop>
  <Company/>
  <LinksUpToDate>false</LinksUpToDate>
  <CharactersWithSpaces>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dc:creator>
  <cp:lastModifiedBy>user</cp:lastModifiedBy>
  <cp:revision>3</cp:revision>
  <dcterms:created xsi:type="dcterms:W3CDTF">2014-06-12T00:37:00Z</dcterms:created>
  <dcterms:modified xsi:type="dcterms:W3CDTF">2019-02-16T07:11:00Z</dcterms:modified>
</cp:coreProperties>
</file>